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480" w:lineRule="atLeast"/>
        <w:jc w:val="left"/>
        <w:rPr>
          <w:rFonts w:hint="eastAsia" w:ascii="宋体" w:hAnsi="宋体" w:eastAsia="宋体" w:cs="Helvetica"/>
          <w:b/>
          <w:bCs/>
          <w:color w:val="333333"/>
          <w:kern w:val="0"/>
          <w:sz w:val="28"/>
          <w:szCs w:val="28"/>
          <w:lang w:val="en-US" w:eastAsia="zh-CN"/>
        </w:rPr>
      </w:pPr>
      <w:bookmarkStart w:id="0" w:name="_GoBack"/>
      <w:bookmarkEnd w:id="0"/>
      <w:r>
        <w:rPr>
          <w:rFonts w:hint="eastAsia" w:ascii="宋体" w:hAnsi="宋体" w:eastAsia="宋体" w:cs="Helvetica"/>
          <w:b/>
          <w:bCs/>
          <w:color w:val="333333"/>
          <w:kern w:val="0"/>
          <w:sz w:val="28"/>
          <w:szCs w:val="28"/>
          <w:lang w:eastAsia="zh-CN"/>
        </w:rPr>
        <w:t>附件</w:t>
      </w:r>
      <w:r>
        <w:rPr>
          <w:rFonts w:hint="eastAsia" w:ascii="宋体" w:hAnsi="宋体" w:eastAsia="宋体" w:cs="Helvetica"/>
          <w:b/>
          <w:bCs/>
          <w:color w:val="333333"/>
          <w:kern w:val="0"/>
          <w:sz w:val="28"/>
          <w:szCs w:val="28"/>
          <w:lang w:val="en-US" w:eastAsia="zh-CN"/>
        </w:rPr>
        <w:t>1：</w:t>
      </w:r>
    </w:p>
    <w:p>
      <w:pPr>
        <w:widowControl/>
        <w:shd w:val="clear" w:color="auto" w:fill="FFFFFF"/>
        <w:jc w:val="center"/>
        <w:outlineLvl w:val="1"/>
        <w:rPr>
          <w:rFonts w:hint="eastAsia" w:ascii="方正小标宋简体" w:hAnsi="Helvetica" w:eastAsia="方正小标宋简体" w:cs="Helvetica"/>
          <w:color w:val="333333"/>
          <w:kern w:val="0"/>
          <w:sz w:val="36"/>
          <w:szCs w:val="48"/>
        </w:rPr>
      </w:pPr>
      <w:r>
        <w:rPr>
          <w:rFonts w:hint="eastAsia" w:ascii="方正小标宋简体" w:hAnsi="Helvetica" w:eastAsia="方正小标宋简体" w:cs="Helvetica"/>
          <w:color w:val="333333"/>
          <w:kern w:val="0"/>
          <w:sz w:val="36"/>
          <w:szCs w:val="48"/>
        </w:rPr>
        <w:t>教育部办公厅关于实施一流本科专业建设“双万计划”的通知</w:t>
      </w:r>
    </w:p>
    <w:p>
      <w:pPr>
        <w:widowControl/>
        <w:shd w:val="clear" w:color="auto" w:fill="FFFFFF"/>
        <w:jc w:val="left"/>
        <w:rPr>
          <w:rFonts w:ascii="Helvetica" w:hAnsi="Helvetica" w:eastAsia="宋体" w:cs="Helvetica"/>
          <w:color w:val="333333"/>
          <w:kern w:val="0"/>
          <w:szCs w:val="21"/>
        </w:rPr>
      </w:pPr>
      <w:r>
        <w:rPr>
          <w:rFonts w:ascii="Helvetica" w:hAnsi="Helvetica" w:eastAsia="宋体" w:cs="Helvetica"/>
          <w:color w:val="333333"/>
          <w:kern w:val="0"/>
          <w:szCs w:val="21"/>
        </w:rPr>
        <w:t xml:space="preserve"> </w:t>
      </w:r>
    </w:p>
    <w:p>
      <w:pPr>
        <w:widowControl/>
        <w:shd w:val="clear" w:color="auto" w:fill="FFFFFF"/>
        <w:spacing w:after="150" w:line="480" w:lineRule="atLeast"/>
        <w:ind w:firstLine="480"/>
        <w:jc w:val="right"/>
        <w:rPr>
          <w:rFonts w:ascii="Helvetica" w:hAnsi="Helvetica" w:eastAsia="宋体" w:cs="Helvetica"/>
          <w:color w:val="333333"/>
          <w:kern w:val="0"/>
          <w:sz w:val="24"/>
          <w:szCs w:val="24"/>
        </w:rPr>
      </w:pPr>
      <w:r>
        <w:rPr>
          <w:rFonts w:ascii="Helvetica" w:hAnsi="Helvetica" w:eastAsia="宋体" w:cs="Helvetica"/>
          <w:color w:val="333333"/>
          <w:kern w:val="0"/>
          <w:sz w:val="24"/>
          <w:szCs w:val="24"/>
        </w:rPr>
        <w:t>教高厅函〔2019〕18号</w:t>
      </w:r>
    </w:p>
    <w:p>
      <w:pPr>
        <w:widowControl/>
        <w:shd w:val="clear" w:color="auto" w:fill="FFFFFF"/>
        <w:spacing w:after="150" w:line="480" w:lineRule="atLeast"/>
        <w:jc w:val="left"/>
        <w:rPr>
          <w:rFonts w:ascii="宋体" w:hAnsi="宋体" w:eastAsia="宋体" w:cs="Helvetica"/>
          <w:color w:val="333333"/>
          <w:kern w:val="0"/>
          <w:sz w:val="28"/>
          <w:szCs w:val="28"/>
        </w:rPr>
      </w:pPr>
      <w:r>
        <w:rPr>
          <w:rFonts w:ascii="宋体" w:hAnsi="宋体" w:eastAsia="宋体" w:cs="Helvetica"/>
          <w:color w:val="333333"/>
          <w:kern w:val="0"/>
          <w:sz w:val="28"/>
          <w:szCs w:val="28"/>
        </w:rPr>
        <w:t>各省、自治区、直辖市教育厅(教委)，新疆生产建设兵团教育局，有关部门(单位)教育司(局)，部属各高等学校、部省合建各高等学校：</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为深入落实全国教育大会和《加快推进教育现代化实施方案(2018—2022年)》精神，贯彻落实新时代全国高校本科教育工作会议和《教育部关于加快建设高水平本科教育 全面提高人才培养能力的意见》、“六卓越一拔尖”计划2.0系列文件要求，推动新工科、新医科、新农科、新文科建设，做强一流本科、建设一流专业、培养一流人才，全面振兴本科教育，提高高校人才培养能力，实现高等教育内涵式发展，经研究，教育部决定全面实施“六卓越一拔尖”计划2.0，启动一流本科专业建设“双万计划”,现将有关事项通知如下。</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b/>
          <w:bCs/>
          <w:color w:val="333333"/>
          <w:kern w:val="0"/>
          <w:sz w:val="28"/>
          <w:szCs w:val="28"/>
        </w:rPr>
        <w:t>一、主要任务</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2019—2021年，建设10000个左右国家级一流本科专业点和10000个左右省级一流本科专业点。</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b/>
          <w:bCs/>
          <w:color w:val="333333"/>
          <w:kern w:val="0"/>
          <w:sz w:val="28"/>
          <w:szCs w:val="28"/>
        </w:rPr>
        <w:t>二、建设原则</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面向各类高校。在不同类型的普通本科高校建设一流本科专业，鼓励分类发展、特色发展。</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面向全部专业。覆盖全部92个本科专业类，分年度开展一流本科专业点建设。</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突出示范领跑。建设新工科、新医科、新农科、新文科示范性本科专业，引领带动高校优化专业结构、促进专业建设质量提升，推动形成高水平人才培养体系。</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分“赛道”建设。中央部门所属高校、地方高校名额分列，向地方高校倾斜；鼓励支持高校在服务国家和区域经济社会发展中建设一流本科专业。</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“两步走”实施。报送的专业第一步被确定为国家级一流本科专业建设点；教育部组织开展专业认证，通过后再确定为国家级一流本科专业。</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b/>
          <w:bCs/>
          <w:color w:val="333333"/>
          <w:kern w:val="0"/>
          <w:sz w:val="28"/>
          <w:szCs w:val="28"/>
        </w:rPr>
        <w:t>三、建设方式</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1.国家级一流本科专业建设工作分三年完成。每年3月启动，经高校网上报送、教育主管部门或高校提交汇总材料、高等学校教学指导委员会提出推荐意见等，确定建设点名单，当年10月公布结果。</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3.入选省级一流本科专业建设点的专业，如同时入选国家级一流本科专业建设点，按照国家级一流本科专业建设点公布。空出的省级一流本科专业建设点名额可延至下一年度使用。</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4.根据2019、2020年一流本科专业点建设情况，2021年将对各专业类国家级一流本科专业的建设数量和建设进度进行统筹。</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b/>
          <w:bCs/>
          <w:color w:val="333333"/>
          <w:kern w:val="0"/>
          <w:sz w:val="28"/>
          <w:szCs w:val="28"/>
        </w:rPr>
        <w:t>四、报送条件</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(一)报送高校需具备的条件</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1.全面落实“以本为本、四个回归”。坚持立德树人，切实巩固人才培养中心地位和本科教学基础地位，把思想政治教育贯穿人才培养全过程，着力深化教育教学改革，全面提升人才培养质量。</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2.积极推进新工科、新医科、新农科、新文科建设。紧扣国家发展需求，主动适应新一轮科技革命和产业变革，着力深化专业综合改革，优化专业结构，积极发展新兴专业，改造提升传统专业，打造特色优势专业。</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4.努力培育以人才培养为中心的质量文化。坚持学生中心、产出导向、持续改进的基本理念，建立健全自查自纠的质量保障机制并持续有效实施，将对质量的追求内化为全校师生的共同价值追求和行为自觉。</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(二)报送专业需具备的条件</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1.专业定位明确。服务面向清晰，适应国家和区域经济社会发展需要，符合学校发展定位和办学方向。</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2.专业管理规范。切实落实本科专业国家标准要求，人才培养方案科学合理，教育教学管理规范有序。近三年未出现重大安全责任事故。</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3.改革成效突出。持续深化教育教学改革，教育理念先进，教学内容更新及时，方法手段不断创新，以新理念、新形态、新方法引领带动新工科、新医科、新农科、新文科建设。</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4.师资力量雄厚。不断加强师资队伍和基层教学组织建设，教育教学研究活动广泛开展，专业教学团队结构合理、整体素质水平高。</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5.培养质量一流。坚持以学生为中心，促进学生全面发展，有效激发学生学习兴趣和潜能，增强创新精神、实践能力和社会责任感，毕业生行业认可度高、社会整体评价好。</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b/>
          <w:bCs/>
          <w:color w:val="333333"/>
          <w:kern w:val="0"/>
          <w:sz w:val="28"/>
          <w:szCs w:val="28"/>
        </w:rPr>
        <w:t>五、报送办法</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b/>
          <w:bCs/>
          <w:color w:val="333333"/>
          <w:kern w:val="0"/>
          <w:sz w:val="28"/>
          <w:szCs w:val="28"/>
        </w:rPr>
        <w:t>六、组织保障</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一)构建三级实施体系。教育部等14个“六卓越一拔尖”计划2.0负责部委(单位)统筹一流本科专业建设“双万计划”组织实施工作，指导各地、各高校落实有关文件要求，加强一流本科专业建设，推动构建国家、地方、高校三级实施体系。</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二)完善经费保障。中央部门所属高校应当统筹利用中央高校教育教学改革专项等中央高校预算拨款和其他各类资源，各地应当统筹地方财政高等教育资金和中央支持地方高校改革发展资金，支持一流本科专业建设。</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(三)建立动态调整机制。教育部和省级教育行政部门加强对计划实施过程跟踪，针对一流本科专业建设中存在的问题，提出改进意见建议，对于建设质量不达标、出现严重质量问题的专业建设点予以撤销。</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b/>
          <w:bCs/>
          <w:color w:val="333333"/>
          <w:kern w:val="0"/>
          <w:sz w:val="28"/>
          <w:szCs w:val="28"/>
        </w:rPr>
        <w:t>七、关于2019年国家级一流本科专业建设点报送工作</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1.报送数量。中央部门所属高校、部省合建高校2019年度报送的专业点数不超过本校本科专业布点数25%；各省级教育行政部门2019年度报送专业点数量不超过本地所属地方高校本科专业布点总数的15%。</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2.在线登录账号和密码。高校使用“高等教育质量监测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3.在线报送时间和网址。在线报送时间为2019年4月20日—6月30日，请登录“国家级一流本科专业建设报送系统”(网址：http://udb.heec.edu.cn)，按照系统提示填报。</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4.在线审核和提交。各省级教育行政部门、中央有关部门(单位)教育司(局)须在2019年6月30日前，登录报送系统，严格按照限额，完成所属高校报送信息的在线审核和提交工作。</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联系人及电话：教育部高等教育司，朱蓓蓓、徐健，010-66097823；教育部高等教育教学评估中心，郭栋、南方，010-82213390、82213395。</w:t>
      </w:r>
    </w:p>
    <w:p>
      <w:pPr>
        <w:widowControl/>
        <w:shd w:val="clear" w:color="auto" w:fill="FFFFFF"/>
        <w:spacing w:after="150" w:line="480" w:lineRule="atLeast"/>
        <w:ind w:firstLine="480"/>
        <w:jc w:val="left"/>
        <w:rPr>
          <w:rFonts w:ascii="宋体" w:hAnsi="宋体" w:eastAsia="宋体" w:cs="Helvetica"/>
          <w:color w:val="333333"/>
          <w:kern w:val="0"/>
          <w:sz w:val="28"/>
          <w:szCs w:val="28"/>
        </w:rPr>
      </w:pPr>
      <w:r>
        <w:rPr>
          <w:rFonts w:ascii="宋体" w:hAnsi="宋体" w:eastAsia="宋体" w:cs="Helvetica"/>
          <w:color w:val="333333"/>
          <w:kern w:val="0"/>
          <w:sz w:val="28"/>
          <w:szCs w:val="28"/>
        </w:rPr>
        <w:t>附件：</w:t>
      </w:r>
    </w:p>
    <w:p>
      <w:pPr>
        <w:widowControl/>
        <w:shd w:val="clear" w:color="auto" w:fill="FFFFFF"/>
        <w:spacing w:after="150" w:line="480" w:lineRule="atLeast"/>
        <w:ind w:firstLine="758" w:firstLineChars="271"/>
        <w:jc w:val="left"/>
        <w:rPr>
          <w:rFonts w:ascii="宋体" w:hAnsi="宋体" w:eastAsia="宋体" w:cs="Helvetica"/>
          <w:color w:val="333333"/>
          <w:kern w:val="0"/>
          <w:sz w:val="28"/>
          <w:szCs w:val="28"/>
        </w:rPr>
      </w:pPr>
      <w:r>
        <w:rPr>
          <w:rFonts w:ascii="宋体" w:hAnsi="宋体" w:eastAsia="宋体" w:cs="Helvetica"/>
          <w:color w:val="333333"/>
          <w:kern w:val="0"/>
          <w:sz w:val="28"/>
          <w:szCs w:val="28"/>
        </w:rPr>
        <w:t>1.国家级一流本科专业分专业类建设规划</w:t>
      </w:r>
    </w:p>
    <w:p>
      <w:pPr>
        <w:widowControl/>
        <w:shd w:val="clear" w:color="auto" w:fill="FFFFFF"/>
        <w:spacing w:after="150" w:line="480" w:lineRule="atLeast"/>
        <w:ind w:firstLine="898" w:firstLineChars="321"/>
        <w:jc w:val="left"/>
        <w:rPr>
          <w:rFonts w:ascii="宋体" w:hAnsi="宋体" w:eastAsia="宋体" w:cs="Helvetica"/>
          <w:color w:val="333333"/>
          <w:kern w:val="0"/>
          <w:sz w:val="28"/>
          <w:szCs w:val="28"/>
        </w:rPr>
      </w:pPr>
      <w:r>
        <w:rPr>
          <w:rFonts w:ascii="宋体" w:hAnsi="宋体" w:eastAsia="宋体" w:cs="Helvetica"/>
          <w:color w:val="333333"/>
          <w:kern w:val="0"/>
          <w:sz w:val="28"/>
          <w:szCs w:val="28"/>
        </w:rPr>
        <w:t>2.国家级一流本科专业建设点信息采集表</w:t>
      </w:r>
    </w:p>
    <w:p>
      <w:pPr>
        <w:widowControl/>
        <w:shd w:val="clear" w:color="auto" w:fill="FFFFFF"/>
        <w:spacing w:after="150" w:line="480" w:lineRule="atLeast"/>
        <w:ind w:firstLine="480"/>
        <w:jc w:val="right"/>
        <w:rPr>
          <w:rFonts w:ascii="宋体" w:hAnsi="宋体" w:eastAsia="宋体" w:cs="Helvetica"/>
          <w:color w:val="333333"/>
          <w:kern w:val="0"/>
          <w:sz w:val="28"/>
          <w:szCs w:val="28"/>
        </w:rPr>
      </w:pPr>
      <w:r>
        <w:rPr>
          <w:rFonts w:ascii="宋体" w:hAnsi="宋体" w:eastAsia="宋体" w:cs="Helvetica"/>
          <w:color w:val="333333"/>
          <w:kern w:val="0"/>
          <w:sz w:val="28"/>
          <w:szCs w:val="28"/>
        </w:rPr>
        <w:t>教育部办公厅</w:t>
      </w:r>
    </w:p>
    <w:p>
      <w:pPr>
        <w:widowControl/>
        <w:shd w:val="clear" w:color="auto" w:fill="FFFFFF"/>
        <w:spacing w:after="150" w:line="480" w:lineRule="atLeast"/>
        <w:ind w:firstLine="480"/>
        <w:jc w:val="righ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 xml:space="preserve"> </w:t>
      </w:r>
      <w:r>
        <w:rPr>
          <w:rFonts w:ascii="宋体" w:hAnsi="宋体" w:eastAsia="宋体" w:cs="Helvetica"/>
          <w:color w:val="333333"/>
          <w:kern w:val="0"/>
          <w:sz w:val="28"/>
          <w:szCs w:val="28"/>
        </w:rPr>
        <w:t>2019年4月2日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27"/>
    <w:rsid w:val="0003070F"/>
    <w:rsid w:val="000526D4"/>
    <w:rsid w:val="00094757"/>
    <w:rsid w:val="00096C6B"/>
    <w:rsid w:val="000A34CC"/>
    <w:rsid w:val="000B07DB"/>
    <w:rsid w:val="000D7C26"/>
    <w:rsid w:val="000E24B9"/>
    <w:rsid w:val="000F05EC"/>
    <w:rsid w:val="00105E24"/>
    <w:rsid w:val="00113142"/>
    <w:rsid w:val="0014386D"/>
    <w:rsid w:val="001B4076"/>
    <w:rsid w:val="00205FF3"/>
    <w:rsid w:val="002308C4"/>
    <w:rsid w:val="0026688A"/>
    <w:rsid w:val="002776E2"/>
    <w:rsid w:val="00292F49"/>
    <w:rsid w:val="00321FB7"/>
    <w:rsid w:val="00382717"/>
    <w:rsid w:val="003A467D"/>
    <w:rsid w:val="003E4F23"/>
    <w:rsid w:val="0040434B"/>
    <w:rsid w:val="00422207"/>
    <w:rsid w:val="004401C6"/>
    <w:rsid w:val="00444262"/>
    <w:rsid w:val="00451626"/>
    <w:rsid w:val="004A5F76"/>
    <w:rsid w:val="004B5630"/>
    <w:rsid w:val="00510398"/>
    <w:rsid w:val="00543C48"/>
    <w:rsid w:val="00567CEA"/>
    <w:rsid w:val="00584F4E"/>
    <w:rsid w:val="00587C50"/>
    <w:rsid w:val="005A2FC9"/>
    <w:rsid w:val="00615A4B"/>
    <w:rsid w:val="00621DA8"/>
    <w:rsid w:val="00634C61"/>
    <w:rsid w:val="006873B4"/>
    <w:rsid w:val="006D51A0"/>
    <w:rsid w:val="006F0F93"/>
    <w:rsid w:val="007701AF"/>
    <w:rsid w:val="007842FC"/>
    <w:rsid w:val="00786986"/>
    <w:rsid w:val="007949E5"/>
    <w:rsid w:val="0079502C"/>
    <w:rsid w:val="007F1B22"/>
    <w:rsid w:val="008831F2"/>
    <w:rsid w:val="00893E35"/>
    <w:rsid w:val="008B0849"/>
    <w:rsid w:val="008B3FD0"/>
    <w:rsid w:val="008B63E0"/>
    <w:rsid w:val="00965106"/>
    <w:rsid w:val="009A5E40"/>
    <w:rsid w:val="00A110A8"/>
    <w:rsid w:val="00A90B87"/>
    <w:rsid w:val="00A94A9B"/>
    <w:rsid w:val="00AC6689"/>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D7C86"/>
    <w:rsid w:val="00E4610C"/>
    <w:rsid w:val="00E5133E"/>
    <w:rsid w:val="00E80453"/>
    <w:rsid w:val="00EC7FA1"/>
    <w:rsid w:val="00F54F27"/>
    <w:rsid w:val="00F613A0"/>
    <w:rsid w:val="00FB4B0F"/>
    <w:rsid w:val="00FC15B6"/>
    <w:rsid w:val="30634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449</Words>
  <Characters>2564</Characters>
  <Lines>21</Lines>
  <Paragraphs>6</Paragraphs>
  <TotalTime>5</TotalTime>
  <ScaleCrop>false</ScaleCrop>
  <LinksUpToDate>false</LinksUpToDate>
  <CharactersWithSpaces>3007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2020-06-19T03:29:00Z</dcterms:created>
  <dc:creator>来宾</dc:creator>
  <cp:lastModifiedBy>六子</cp:lastModifiedBy>
  <dcterms:modified xsi:type="dcterms:W3CDTF">2020-06-19T03:38:33Z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