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spacing w:line="240" w:lineRule="atLeast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首届全国教材建设奖全国优秀教材（高等教育类）推荐教材汇总表</w:t>
      </w:r>
    </w:p>
    <w:p>
      <w:pPr>
        <w:widowControl w:val="0"/>
        <w:spacing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申报学校：                                    联系人：                                                 联系电话：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20"/>
        <w:gridCol w:w="1500"/>
        <w:gridCol w:w="1500"/>
        <w:gridCol w:w="1500"/>
        <w:gridCol w:w="1500"/>
        <w:gridCol w:w="1350"/>
        <w:gridCol w:w="1466"/>
        <w:gridCol w:w="1182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教材形式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主编姓名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主编单位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出版社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学科专业类别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备注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是否曾获省级一等奖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本科/研究生</w:t>
            </w: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…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填表说明：</w:t>
      </w:r>
    </w:p>
    <w:p>
      <w:pPr>
        <w:widowControl w:val="0"/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hint="eastAsia"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1. 各申报教材需排序推荐，本科、研究生教材分开汇总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，参加全国优秀教材推荐的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已获省级一等奖的教材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，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请在备注栏说明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widowControl w:val="0"/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2. 教材名称、主编单位和出版社应填写全称；</w:t>
      </w:r>
    </w:p>
    <w:p>
      <w:pPr>
        <w:widowControl w:val="0"/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3. 教材形式是指文字教材、电子教材、文字+电子教材三类；</w:t>
      </w:r>
    </w:p>
    <w:p>
      <w:pPr>
        <w:widowControl w:val="0"/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4. 学科专业类按照教材应用对象（本科生或研究生）的四位代码对应的专业类或学科填写；</w:t>
      </w:r>
    </w:p>
    <w:p>
      <w:pPr>
        <w:widowControl w:val="0"/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5. 本表使用EXCEL制表软件填写，</w:t>
      </w:r>
      <w:r>
        <w:fldChar w:fldCharType="begin"/>
      </w:r>
      <w:r>
        <w:instrText xml:space="preserve"> HYPERLINK "mailto:请于11月27日前将电子版发送至24171852@qq.com" </w:instrText>
      </w:r>
      <w:r>
        <w:fldChar w:fldCharType="separate"/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请于11月27日前将电子版发送至24171852@qq.com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（本科）、yjsy@xaut.edu.cn（研究生）。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54A9"/>
    <w:rsid w:val="7AD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8" w:lineRule="auto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2020-11-12T03:52:00Z</dcterms:created>
  <dc:creator>六子</dc:creator>
  <cp:lastModifiedBy>六子</cp:lastModifiedBy>
  <dcterms:modified xsi:type="dcterms:W3CDTF">2020-11-12T03:55:35Z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