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B4A" w:rsidRPr="00031B4A" w:rsidRDefault="00031B4A" w:rsidP="00031B4A">
      <w:pPr>
        <w:pStyle w:val="a3"/>
        <w:shd w:val="clear" w:color="auto" w:fill="FFFFFF"/>
        <w:spacing w:before="0" w:beforeAutospacing="0" w:after="0" w:afterAutospacing="0"/>
        <w:jc w:val="center"/>
        <w:rPr>
          <w:rFonts w:ascii="方正小标宋简体" w:eastAsia="方正小标宋简体" w:hint="eastAsia"/>
          <w:sz w:val="36"/>
        </w:rPr>
      </w:pPr>
      <w:r w:rsidRPr="00031B4A">
        <w:rPr>
          <w:rFonts w:ascii="方正小标宋简体" w:eastAsia="方正小标宋简体" w:hint="eastAsia"/>
          <w:b/>
          <w:bCs/>
          <w:sz w:val="36"/>
        </w:rPr>
        <w:t>教育部关于一流本科课程建设的实施意见</w:t>
      </w:r>
      <w:r w:rsidRPr="00031B4A">
        <w:rPr>
          <w:rFonts w:ascii="方正小标宋简体" w:eastAsia="方正小标宋简体" w:hint="eastAsia"/>
          <w:b/>
          <w:bCs/>
          <w:sz w:val="36"/>
        </w:rPr>
        <w:br/>
      </w:r>
      <w:r w:rsidRPr="00031B4A">
        <w:rPr>
          <w:rFonts w:ascii="方正小标宋简体" w:eastAsia="方正小标宋简体" w:hAnsi="楷体" w:hint="eastAsia"/>
          <w:sz w:val="36"/>
        </w:rPr>
        <w:t>教高〔2019〕8号</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各省、自治区、直辖市教育厅（教委），新疆生产建设兵团教育局，有关部门（单位）教育司（局），部属各高等学校、部省合建各高等学校：</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031B4A" w:rsidRPr="00031B4A" w:rsidRDefault="00031B4A" w:rsidP="00031B4A">
      <w:pPr>
        <w:pStyle w:val="a3"/>
        <w:shd w:val="clear" w:color="auto" w:fill="FFFFFF"/>
        <w:tabs>
          <w:tab w:val="left" w:pos="7395"/>
        </w:tabs>
        <w:spacing w:before="0" w:beforeAutospacing="0" w:after="0" w:afterAutospacing="0"/>
        <w:ind w:firstLineChars="199" w:firstLine="639"/>
        <w:rPr>
          <w:rFonts w:ascii="仿宋_GB2312" w:eastAsia="仿宋_GB2312" w:hint="eastAsia"/>
          <w:color w:val="333333"/>
          <w:sz w:val="32"/>
          <w:szCs w:val="32"/>
        </w:rPr>
      </w:pPr>
      <w:r w:rsidRPr="00031B4A">
        <w:rPr>
          <w:rFonts w:ascii="仿宋_GB2312" w:eastAsia="仿宋_GB2312" w:hint="eastAsia"/>
          <w:b/>
          <w:bCs/>
          <w:color w:val="333333"/>
          <w:sz w:val="32"/>
          <w:szCs w:val="32"/>
        </w:rPr>
        <w:t>一、总体要求</w:t>
      </w:r>
      <w:r w:rsidRPr="00031B4A">
        <w:rPr>
          <w:rFonts w:ascii="仿宋_GB2312" w:eastAsia="仿宋_GB2312" w:hint="eastAsia"/>
          <w:b/>
          <w:bCs/>
          <w:color w:val="333333"/>
          <w:sz w:val="32"/>
          <w:szCs w:val="32"/>
        </w:rPr>
        <w:tab/>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（一）指导思想</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（二）总体目标</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（三）基本原则</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——坚持分类建设。依据高校办学定位和人才培养目标定位，建设适应创新型、复合型、应用型人才培养需要的一流本科课程，实现不同类型高校一流本科课程建设全覆盖。</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提升高阶性。课程目标坚持知识、能力、素质有机融合，培养学生解决复杂问题的综合能力和高级思维。课程内容强调广度和深度，突破习惯性认知模式，培养学生深度分析、大胆质疑、勇于创新的精神和能力。</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——突出创新性。教学内容体现前沿性与时代性，及时将学术研究、科技发展前沿成果引入课程。教学方法体现先进性与互动性，大力推进现代信息技术与教学深度融合，积极引导学生进行探究式与个性化学习。</w:t>
      </w:r>
    </w:p>
    <w:p w:rsidR="00031B4A" w:rsidRPr="00031B4A" w:rsidRDefault="00031B4A" w:rsidP="00031B4A">
      <w:pPr>
        <w:pStyle w:val="a3"/>
        <w:shd w:val="clear" w:color="auto" w:fill="FFFFFF"/>
        <w:spacing w:before="225" w:beforeAutospacing="0" w:after="0" w:afterAutospacing="0"/>
        <w:ind w:firstLineChars="200" w:firstLine="640"/>
        <w:rPr>
          <w:rFonts w:ascii="仿宋_GB2312" w:eastAsia="仿宋_GB2312" w:hint="eastAsia"/>
          <w:color w:val="333333"/>
          <w:sz w:val="32"/>
          <w:szCs w:val="32"/>
        </w:rPr>
      </w:pPr>
      <w:r w:rsidRPr="00031B4A">
        <w:rPr>
          <w:rFonts w:ascii="仿宋_GB2312" w:eastAsia="仿宋_GB2312" w:hint="eastAsia"/>
          <w:color w:val="333333"/>
          <w:sz w:val="32"/>
          <w:szCs w:val="32"/>
        </w:rPr>
        <w:t>——增加挑战度。课程设计增加研究性、创新性、综合性内容，加大学生学习投入，科学“增负”，让学生体验“跳一跳才能够得着”的学习挑战。严格考核考试评价，增强学生经过刻苦学习收获能力和素质提高的成就感。</w:t>
      </w:r>
    </w:p>
    <w:p w:rsidR="00031B4A" w:rsidRPr="00031B4A" w:rsidRDefault="00031B4A" w:rsidP="00031B4A">
      <w:pPr>
        <w:pStyle w:val="a3"/>
        <w:shd w:val="clear" w:color="auto" w:fill="FFFFFF"/>
        <w:spacing w:before="0" w:beforeAutospacing="0" w:after="0" w:afterAutospacing="0"/>
        <w:ind w:firstLineChars="199" w:firstLine="639"/>
        <w:rPr>
          <w:rFonts w:ascii="仿宋_GB2312" w:eastAsia="仿宋_GB2312" w:hint="eastAsia"/>
          <w:color w:val="333333"/>
          <w:sz w:val="32"/>
          <w:szCs w:val="32"/>
        </w:rPr>
      </w:pPr>
      <w:r w:rsidRPr="00031B4A">
        <w:rPr>
          <w:rFonts w:ascii="仿宋_GB2312" w:eastAsia="仿宋_GB2312" w:hint="eastAsia"/>
          <w:b/>
          <w:bCs/>
          <w:color w:val="333333"/>
          <w:sz w:val="32"/>
          <w:szCs w:val="32"/>
        </w:rPr>
        <w:t>二、建设内容</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二）目标导向，课程优起来。以目标为导向加强课程建设。立足经济社会发展需求和人才培养目标，优化重构教学内容与课程体系，破除课程千校一面，杜绝必修课因人设课，淘汰“水课”，立起课程建设新标杆。“双一流”建设</w:t>
      </w:r>
      <w:r w:rsidRPr="00031B4A">
        <w:rPr>
          <w:rFonts w:ascii="仿宋_GB2312" w:eastAsia="仿宋_GB2312" w:hint="eastAsia"/>
          <w:color w:val="333333"/>
          <w:sz w:val="32"/>
          <w:szCs w:val="32"/>
        </w:rPr>
        <w:lastRenderedPageBreak/>
        <w:t>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本科课程。服务区域经济社会发展主战场，深化产教融合协同育人，建设一批培养应用型人才的一流本科课程。</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（四）改革方法，课堂活起来。以提升教学效果为目的创新教学方法。强化课堂设计，解决好怎么讲好课的问题，杜绝单纯知识传递、忽视能力素质培养的现象。强化现代信</w:t>
      </w:r>
      <w:r w:rsidRPr="00031B4A">
        <w:rPr>
          <w:rFonts w:ascii="仿宋_GB2312" w:eastAsia="仿宋_GB2312" w:hint="eastAsia"/>
          <w:color w:val="333333"/>
          <w:sz w:val="32"/>
          <w:szCs w:val="32"/>
        </w:rPr>
        <w:lastRenderedPageBreak/>
        <w:t>息技术与教育教学深度融合，解决好教与学模式创新的问题，杜绝信息技术应用的简单化、形式化。强化师生互动、生生互动，解决好创新性、批判性思维培养的问题，杜绝教师满堂灌、学生被动听的现象。</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加强非标准化、综合性等评价，提升课程学习的挑战性。“双一流”建设高校、部省合建高校要扩大学生课程学习选择面，强化课程难度与挑战度。</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031B4A" w:rsidRPr="00031B4A" w:rsidRDefault="00031B4A" w:rsidP="00031B4A">
      <w:pPr>
        <w:pStyle w:val="a3"/>
        <w:shd w:val="clear" w:color="auto" w:fill="FFFFFF"/>
        <w:spacing w:before="0" w:beforeAutospacing="0" w:after="0" w:afterAutospacing="0"/>
        <w:ind w:firstLineChars="199" w:firstLine="639"/>
        <w:rPr>
          <w:rFonts w:ascii="仿宋_GB2312" w:eastAsia="仿宋_GB2312" w:hint="eastAsia"/>
          <w:color w:val="333333"/>
          <w:sz w:val="32"/>
          <w:szCs w:val="32"/>
        </w:rPr>
      </w:pPr>
      <w:r w:rsidRPr="00031B4A">
        <w:rPr>
          <w:rFonts w:ascii="仿宋_GB2312" w:eastAsia="仿宋_GB2312" w:hint="eastAsia"/>
          <w:b/>
          <w:bCs/>
          <w:color w:val="333333"/>
          <w:sz w:val="32"/>
          <w:szCs w:val="32"/>
        </w:rPr>
        <w:t>三、实施一流本科课程双万计划</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学一流课程、1000门左右国家级社会实践一流课程认定工作，具体推荐认定办法见附件。</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031B4A" w:rsidRPr="00031B4A" w:rsidRDefault="00031B4A" w:rsidP="00031B4A">
      <w:pPr>
        <w:pStyle w:val="a3"/>
        <w:shd w:val="clear" w:color="auto" w:fill="FFFFFF"/>
        <w:spacing w:before="0" w:beforeAutospacing="0" w:after="0" w:afterAutospacing="0"/>
        <w:ind w:firstLineChars="199" w:firstLine="639"/>
        <w:rPr>
          <w:rFonts w:ascii="仿宋_GB2312" w:eastAsia="仿宋_GB2312" w:hint="eastAsia"/>
          <w:color w:val="333333"/>
          <w:sz w:val="32"/>
          <w:szCs w:val="32"/>
        </w:rPr>
      </w:pPr>
      <w:r w:rsidRPr="00031B4A">
        <w:rPr>
          <w:rFonts w:ascii="仿宋_GB2312" w:eastAsia="仿宋_GB2312" w:hint="eastAsia"/>
          <w:b/>
          <w:bCs/>
          <w:color w:val="333333"/>
          <w:sz w:val="32"/>
          <w:szCs w:val="32"/>
        </w:rPr>
        <w:t>四、组织管理</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（一）教育部负责统筹指导一流本科课程建设工作，组织有关专家和机构研究制定一流本科课程建设、应用与管理的相关标准规范。公布国家级一流本科课程推荐认定结果。</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（四）高等学校教学指导委员会要加强课程建设理论研究和分类指导，组织制订相关专业一流本科课程建设指南，引导高校汇聚优秀教师联合建设课程群，共享优质课程资源。</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（五）课程服务平台承担一流本科课程服务和数据安全保障的主体责任，配合开展课程审查和线上教学活动。要不断更新并提升技术和数据服务水平，监控和打击不良学习行为。加强课程平台间的交流与合作。</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（六）中央部门所属高校统筹利用“中央高校教育教学改革专项”等各类资源支持一流本科课程建设。地方高校统</w:t>
      </w:r>
      <w:r w:rsidRPr="00031B4A">
        <w:rPr>
          <w:rFonts w:ascii="仿宋_GB2312" w:eastAsia="仿宋_GB2312" w:hint="eastAsia"/>
          <w:color w:val="333333"/>
          <w:sz w:val="32"/>
          <w:szCs w:val="32"/>
        </w:rPr>
        <w:lastRenderedPageBreak/>
        <w:t>筹地方财政高等教育资金和中央支持地方高校改革发展资金支持一流本科课程建设。</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附件：“双万计划”国家级一流本科课程推荐认定办法</w:t>
      </w:r>
    </w:p>
    <w:p w:rsidR="00031B4A" w:rsidRDefault="00031B4A" w:rsidP="00031B4A">
      <w:pPr>
        <w:pStyle w:val="a3"/>
        <w:shd w:val="clear" w:color="auto" w:fill="FFFFFF"/>
        <w:spacing w:before="0" w:beforeAutospacing="0" w:after="0" w:afterAutospacing="0"/>
        <w:ind w:right="640"/>
        <w:jc w:val="right"/>
        <w:rPr>
          <w:rFonts w:ascii="仿宋_GB2312" w:eastAsia="仿宋_GB2312"/>
          <w:color w:val="333333"/>
          <w:sz w:val="32"/>
          <w:szCs w:val="32"/>
        </w:rPr>
      </w:pPr>
      <w:r w:rsidRPr="00031B4A">
        <w:rPr>
          <w:rFonts w:ascii="仿宋_GB2312" w:eastAsia="仿宋_GB2312" w:hint="eastAsia"/>
          <w:color w:val="333333"/>
          <w:sz w:val="32"/>
          <w:szCs w:val="32"/>
        </w:rPr>
        <w:t>教育部</w:t>
      </w:r>
      <w:r w:rsidRPr="00031B4A">
        <w:rPr>
          <w:rFonts w:ascii="仿宋_GB2312" w:eastAsia="仿宋_GB2312" w:hint="eastAsia"/>
          <w:color w:val="333333"/>
          <w:sz w:val="32"/>
          <w:szCs w:val="32"/>
        </w:rPr>
        <w:br/>
      </w:r>
      <w:r>
        <w:rPr>
          <w:rFonts w:ascii="仿宋_GB2312" w:eastAsia="仿宋_GB2312" w:hint="eastAsia"/>
          <w:color w:val="333333"/>
          <w:sz w:val="32"/>
          <w:szCs w:val="32"/>
        </w:rPr>
        <w:t xml:space="preserve">   </w:t>
      </w:r>
      <w:r w:rsidRPr="00031B4A">
        <w:rPr>
          <w:rFonts w:ascii="仿宋_GB2312" w:eastAsia="仿宋_GB2312" w:hint="eastAsia"/>
          <w:color w:val="333333"/>
          <w:sz w:val="32"/>
          <w:szCs w:val="32"/>
        </w:rPr>
        <w:t>2</w:t>
      </w:r>
      <w:r>
        <w:rPr>
          <w:rFonts w:ascii="仿宋_GB2312" w:eastAsia="仿宋_GB2312" w:hint="eastAsia"/>
          <w:color w:val="333333"/>
          <w:sz w:val="32"/>
          <w:szCs w:val="32"/>
        </w:rPr>
        <w:t xml:space="preserve"> </w:t>
      </w:r>
      <w:r w:rsidRPr="00031B4A">
        <w:rPr>
          <w:rFonts w:ascii="仿宋_GB2312" w:eastAsia="仿宋_GB2312" w:hint="eastAsia"/>
          <w:color w:val="333333"/>
          <w:sz w:val="32"/>
          <w:szCs w:val="32"/>
        </w:rPr>
        <w:t>019年10月24日</w:t>
      </w:r>
    </w:p>
    <w:p w:rsidR="00031B4A" w:rsidRDefault="00031B4A">
      <w:pPr>
        <w:widowControl/>
        <w:jc w:val="left"/>
        <w:rPr>
          <w:rFonts w:ascii="仿宋_GB2312" w:eastAsia="仿宋_GB2312" w:hAnsi="宋体" w:cs="宋体"/>
          <w:color w:val="333333"/>
          <w:kern w:val="0"/>
          <w:sz w:val="32"/>
          <w:szCs w:val="32"/>
        </w:rPr>
      </w:pPr>
      <w:r>
        <w:rPr>
          <w:rFonts w:ascii="仿宋_GB2312" w:eastAsia="仿宋_GB2312"/>
          <w:color w:val="333333"/>
          <w:sz w:val="32"/>
          <w:szCs w:val="32"/>
        </w:rPr>
        <w:br w:type="page"/>
      </w:r>
    </w:p>
    <w:p w:rsidR="00031B4A" w:rsidRDefault="00031B4A" w:rsidP="00031B4A">
      <w:pPr>
        <w:pStyle w:val="a3"/>
        <w:shd w:val="clear" w:color="auto" w:fill="FFFFFF"/>
        <w:spacing w:before="0" w:beforeAutospacing="0" w:after="0" w:afterAutospacing="0"/>
        <w:ind w:right="640"/>
        <w:jc w:val="right"/>
        <w:rPr>
          <w:rFonts w:ascii="仿宋_GB2312" w:eastAsia="仿宋_GB2312" w:hint="eastAsia"/>
          <w:color w:val="333333"/>
          <w:sz w:val="32"/>
          <w:szCs w:val="32"/>
        </w:rPr>
      </w:pPr>
      <w:bookmarkStart w:id="0" w:name="_GoBack"/>
      <w:bookmarkEnd w:id="0"/>
    </w:p>
    <w:p w:rsidR="00031B4A" w:rsidRPr="00031B4A" w:rsidRDefault="00031B4A" w:rsidP="00031B4A">
      <w:pPr>
        <w:pStyle w:val="a3"/>
        <w:shd w:val="clear" w:color="auto" w:fill="FFFFFF"/>
        <w:spacing w:before="0" w:beforeAutospacing="0" w:after="0" w:afterAutospacing="0"/>
        <w:ind w:right="7520"/>
        <w:jc w:val="right"/>
        <w:rPr>
          <w:rFonts w:ascii="仿宋_GB2312" w:eastAsia="仿宋_GB2312" w:hint="eastAsia"/>
          <w:color w:val="333333"/>
          <w:sz w:val="32"/>
          <w:szCs w:val="32"/>
        </w:rPr>
      </w:pPr>
      <w:r w:rsidRPr="00031B4A">
        <w:rPr>
          <w:rFonts w:ascii="仿宋_GB2312" w:eastAsia="仿宋_GB2312" w:hint="eastAsia"/>
          <w:b/>
          <w:bCs/>
          <w:color w:val="333333"/>
          <w:sz w:val="32"/>
          <w:szCs w:val="32"/>
        </w:rPr>
        <w:t>附件</w:t>
      </w:r>
    </w:p>
    <w:p w:rsidR="00031B4A" w:rsidRPr="00031B4A" w:rsidRDefault="00031B4A" w:rsidP="00031B4A">
      <w:pPr>
        <w:pStyle w:val="a3"/>
        <w:shd w:val="clear" w:color="auto" w:fill="FFFFFF"/>
        <w:spacing w:before="0" w:beforeAutospacing="0" w:after="0" w:afterAutospacing="0"/>
        <w:jc w:val="center"/>
        <w:rPr>
          <w:rFonts w:ascii="仿宋_GB2312" w:eastAsia="仿宋_GB2312" w:hint="eastAsia"/>
          <w:color w:val="333333"/>
          <w:sz w:val="32"/>
          <w:szCs w:val="32"/>
        </w:rPr>
      </w:pPr>
      <w:r w:rsidRPr="00031B4A">
        <w:rPr>
          <w:rFonts w:ascii="仿宋_GB2312" w:eastAsia="仿宋_GB2312" w:hint="eastAsia"/>
          <w:b/>
          <w:bCs/>
          <w:color w:val="333399"/>
          <w:sz w:val="32"/>
          <w:szCs w:val="32"/>
        </w:rPr>
        <w:t>“双万计划”国家级一流本科课程</w:t>
      </w:r>
      <w:r w:rsidRPr="00031B4A">
        <w:rPr>
          <w:rFonts w:ascii="仿宋_GB2312" w:eastAsia="仿宋_GB2312" w:hint="eastAsia"/>
          <w:b/>
          <w:bCs/>
          <w:color w:val="333399"/>
          <w:sz w:val="32"/>
          <w:szCs w:val="32"/>
        </w:rPr>
        <w:br/>
        <w:t>推荐认定办法</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t>一、推荐范围</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普通本科高校纳入人才培养方案且设置学分的本科课程均可推荐，包括思想政治理论课、公共基础课、专业基础课、专业课以及通识课等独立设置的本科理论课程、实验课程和社会实践课程等。</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t>二、推荐类型与计划</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一）线上一流课程。即国家精品在线开放课程，突出优质、开放、共享，打造中国慕课品牌。完成4000门左右国家精品在线开放课程认定，构建内容更加丰富、结构更加合理、类别更加全面的国家级精品慕课体系。</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（三）线上线下混合式一流课程。主要指基于慕课、专属在线课程（SPOC）或其他在线课程，运用适当的数字化教</w:t>
      </w:r>
      <w:r w:rsidRPr="00031B4A">
        <w:rPr>
          <w:rFonts w:ascii="仿宋_GB2312" w:eastAsia="仿宋_GB2312" w:hint="eastAsia"/>
          <w:color w:val="333333"/>
          <w:sz w:val="32"/>
          <w:szCs w:val="32"/>
        </w:rPr>
        <w:lastRenderedPageBreak/>
        <w:t>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lastRenderedPageBreak/>
        <w:t>三、推荐条件</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（一）教学理念先进。坚持立德树人，体现以学生发展为中心，致力于开启学生内在潜力和学习动力，注重学生德智体美劳全面发展。</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（三）课程目标有效支撑培养目标达成。课程目标符合学校办学定位和人才培养目标，注重知识、能力、素质培养。</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（四）课程教学设计科学合理。围绕目标达成、教学内容、组织实施和多元评价需求进行整体规划，教学策略、教学方法、教学过程、教学评价等设计合理。</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（六）教学组织与实施突出学生中心地位。根据学生认知规律和接受特点，创新教与学模式，因材施教，促进师生之间、学生之间的交流互动、资源共享、知识生成，教学反馈及时，教学效果显著。</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（七）课程管理与评价科学且可测量。教师备课要求明确，学生学习管理严格。针对教学目标、教学内容、教学组织等采用多元化考核评价，过程可回溯，诊断改进积极有效。教学过程材料完整，可借鉴可监督。</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t>四、推荐方式</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除线上一流课程、虚拟仿真实验教学一流课程继续按有关文件实施外，线下一流课程、线上线下混合式一流课程和社会实践一流课程采用以下推荐方式。</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（一）推荐总额</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教育部按照国家级线下一流课程、线上线下混合式一流课程和社会实践一流课程三年计划总数确定推荐总额，分别下达至中央部门所属高校和各省级教育行政部门。</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（二）分赛道推荐</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按照中央部门所属高校、地方高校的办学定位和培养目标特点分赛道推荐，名额分列。部省合建高校推荐课程纳入中央部门所属高校赛道。</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（三）推荐方式</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（四）推荐材料要求</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课程团队须提交申报书、时长10分钟内的说课视频（包括教学理念、课程设计、课程实施、改革成效等）和其他佐证材料。</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t>五、认定方式</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t>教育部分年度组织专家对推荐课程进行认定，经公示后向社会发布。对课程团队成员存在师德师风问题、学术不端问题、五年内出现过重大教学事故，课程内容存在思想性科学性问题的，实行一票否决。</w:t>
      </w:r>
    </w:p>
    <w:p w:rsidR="00031B4A" w:rsidRPr="00031B4A" w:rsidRDefault="00031B4A" w:rsidP="00031B4A">
      <w:pPr>
        <w:pStyle w:val="a3"/>
        <w:shd w:val="clear" w:color="auto" w:fill="FFFFFF"/>
        <w:spacing w:before="0"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b/>
          <w:bCs/>
          <w:color w:val="333333"/>
          <w:sz w:val="32"/>
          <w:szCs w:val="32"/>
        </w:rPr>
        <w:t>六、认定课程管理</w:t>
      </w:r>
    </w:p>
    <w:p w:rsidR="00031B4A" w:rsidRPr="00031B4A" w:rsidRDefault="00031B4A" w:rsidP="00031B4A">
      <w:pPr>
        <w:pStyle w:val="a3"/>
        <w:shd w:val="clear" w:color="auto" w:fill="FFFFFF"/>
        <w:spacing w:before="225" w:beforeAutospacing="0" w:after="0" w:afterAutospacing="0"/>
        <w:ind w:firstLine="480"/>
        <w:rPr>
          <w:rFonts w:ascii="仿宋_GB2312" w:eastAsia="仿宋_GB2312" w:hint="eastAsia"/>
          <w:color w:val="333333"/>
          <w:sz w:val="32"/>
          <w:szCs w:val="32"/>
        </w:rPr>
      </w:pPr>
      <w:r w:rsidRPr="00031B4A">
        <w:rPr>
          <w:rFonts w:ascii="仿宋_GB2312" w:eastAsia="仿宋_GB2312" w:hint="eastAsia"/>
          <w:color w:val="333333"/>
          <w:sz w:val="32"/>
          <w:szCs w:val="32"/>
        </w:rPr>
        <w:lastRenderedPageBreak/>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8831F2" w:rsidRPr="00031B4A" w:rsidRDefault="008831F2">
      <w:pPr>
        <w:rPr>
          <w:rFonts w:ascii="仿宋_GB2312" w:eastAsia="仿宋_GB2312" w:hint="eastAsia"/>
          <w:sz w:val="32"/>
          <w:szCs w:val="32"/>
        </w:rPr>
      </w:pPr>
    </w:p>
    <w:sectPr w:rsidR="008831F2" w:rsidRPr="00031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4A"/>
    <w:rsid w:val="0003070F"/>
    <w:rsid w:val="00031B4A"/>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B4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B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837">
      <w:bodyDiv w:val="1"/>
      <w:marLeft w:val="0"/>
      <w:marRight w:val="0"/>
      <w:marTop w:val="0"/>
      <w:marBottom w:val="0"/>
      <w:divBdr>
        <w:top w:val="none" w:sz="0" w:space="0" w:color="auto"/>
        <w:left w:val="none" w:sz="0" w:space="0" w:color="auto"/>
        <w:bottom w:val="none" w:sz="0" w:space="0" w:color="auto"/>
        <w:right w:val="none" w:sz="0" w:space="0" w:color="auto"/>
      </w:divBdr>
    </w:div>
    <w:div w:id="19913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855</Words>
  <Characters>4876</Characters>
  <Application>Microsoft Office Word</Application>
  <DocSecurity>0</DocSecurity>
  <Lines>40</Lines>
  <Paragraphs>11</Paragraphs>
  <ScaleCrop>false</ScaleCrop>
  <Company>Microsoft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2019-12-12T02:35:00Z</dcterms:created>
  <dcterms:modified xsi:type="dcterms:W3CDTF">2019-12-12T02:36:00Z</dcterms:modified>
</cp:coreProperties>
</file>